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7F5C" w14:textId="77777777" w:rsidR="008F6067" w:rsidRDefault="008F6067" w:rsidP="008F606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de-DE"/>
        </w:rPr>
      </w:pPr>
    </w:p>
    <w:p w14:paraId="24FEBFD2" w14:textId="77777777" w:rsidR="008F6067" w:rsidRPr="009C65B8" w:rsidRDefault="008F6067" w:rsidP="008F606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9C65B8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57. Basler Renaissance Kolloquium – "Renaissance (Dis)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" </w:t>
      </w:r>
    </w:p>
    <w:p w14:paraId="5C119522" w14:textId="77777777" w:rsidR="008F6067" w:rsidRPr="009C65B8" w:rsidRDefault="008F6067" w:rsidP="008F606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de-DE"/>
        </w:rPr>
      </w:pPr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14. November 2025, 14h15 - 18h30</w:t>
      </w:r>
    </w:p>
    <w:p w14:paraId="29931BE2" w14:textId="77777777" w:rsidR="008F6067" w:rsidRPr="009C65B8" w:rsidRDefault="008F6067" w:rsidP="008F606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de-DE"/>
        </w:rPr>
      </w:pPr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Departement Geschichte, Seminarraum 1, Hirschgässlein 21, 4051 Basel</w:t>
      </w:r>
    </w:p>
    <w:p w14:paraId="0BA18179" w14:textId="77777777" w:rsidR="008F6067" w:rsidRPr="009C65B8" w:rsidRDefault="008F6067" w:rsidP="008F606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de-DE"/>
        </w:rPr>
      </w:pPr>
      <w:r w:rsidRPr="009C65B8">
        <w:rPr>
          <w:rFonts w:ascii="Times New Roman" w:eastAsia="Times New Roman" w:hAnsi="Times New Roman" w:cs="Times New Roman"/>
          <w:b/>
          <w:bCs/>
          <w:lang w:eastAsia="de-DE"/>
        </w:rPr>
        <w:t>Outline</w:t>
      </w:r>
    </w:p>
    <w:p w14:paraId="4DF0C6AA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nature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Renaissance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How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could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have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otherwise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?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rising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merchant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more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things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before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but emergent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credit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systems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ruinous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loss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fractious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divided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church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alternatively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clung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purged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worldly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goods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finding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new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uses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buildings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grounds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idea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self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-possession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articulated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inherent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humanity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denied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-larger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number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enslaved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individuals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Imperial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staked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not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only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through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but also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simple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assertion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dispossessing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communities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ancestral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lands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Evolving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notions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authorship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meant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something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immaterial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idea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came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considered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product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self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which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could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unjustly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taken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others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In all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domains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declarations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met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counter-arguments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constant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)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negotiations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rightful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</w:t>
      </w:r>
    </w:p>
    <w:p w14:paraId="29023B14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The 57th Basel Renaissance Colloquium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seeks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reevaluate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processes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Though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legal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sphere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often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provided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theater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which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dramas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counter-claim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played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out,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while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this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period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saw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plenty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outright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theft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Colloquium will not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focus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primarily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on legal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definitions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decisions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Rather,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interested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rights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)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revealed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produced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epistemological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fissures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“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who</w:t>
      </w:r>
      <w:proofErr w:type="spellEnd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what</w:t>
      </w:r>
      <w:proofErr w:type="spellEnd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where</w:t>
      </w:r>
      <w:proofErr w:type="spellEnd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when</w:t>
      </w:r>
      <w:proofErr w:type="spellEnd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why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”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rightful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first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place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could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easily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become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embroiled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dispute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simply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because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actions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saving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hiding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retaining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incongruently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understood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different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groups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within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divergent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segments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social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fabric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In turn,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very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notions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conceptual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frame-works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practices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)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will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our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principal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concern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</w:t>
      </w:r>
    </w:p>
    <w:p w14:paraId="55A14781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discrepancies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perceiving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constructing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legitimacies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around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rightful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open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onto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broad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historical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questions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: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notions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self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-)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understood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shared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extended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withdrawn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? Under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which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circumstances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very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idea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disavowed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rejected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out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hand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? How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certain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groups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assert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affiliation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singular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inheritance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previous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artistic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philosophical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traditions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?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incompatible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legal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codes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daily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practices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around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enslavement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reveal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about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contemporary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conceptions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human? How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conflict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colonial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spaces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reveal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alternative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conceptions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property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?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modes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representation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produced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either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durable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contestable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?</w:t>
      </w:r>
    </w:p>
    <w:p w14:paraId="27410684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Renaissance (Dis)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intended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interdisciplinary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forum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open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seeking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combine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) social,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political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intellectual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historical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methods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colloquium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will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allow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individual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presentations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about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30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minutes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length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followed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questions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a final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roundtable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discussion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</w:t>
      </w:r>
    </w:p>
    <w:p w14:paraId="04A3C9F4" w14:textId="77777777" w:rsidR="008F6067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> </w:t>
      </w:r>
    </w:p>
    <w:p w14:paraId="5B9D79AA" w14:textId="77777777" w:rsidR="008F6067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</w:p>
    <w:p w14:paraId="21B0F7DE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</w:p>
    <w:p w14:paraId="1A873A82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lastRenderedPageBreak/>
        <w:t>Owning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River: Possession, Power and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Environment in Renaissance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Italy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lang w:eastAsia="de-DE"/>
        </w:rPr>
        <w:t> </w:t>
      </w:r>
    </w:p>
    <w:p w14:paraId="50DC4ECA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Luca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Zenobi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University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Edinburgh</w:t>
      </w:r>
    </w:p>
    <w:p w14:paraId="2EC772C0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From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trade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slavery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from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identity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religion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language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culture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permeated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every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aspect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life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This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paper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explores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place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politics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diplomacy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particularly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Italian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regimes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identified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extent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territorial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holdings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Drawing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from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larger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study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role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rivers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geopolitics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time,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shows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watercourses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not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used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merely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spatial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markers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;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also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appropriated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entirety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folded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bundle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defined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dominion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paper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examines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challenges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opportunities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emerged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applying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this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patrimonial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logic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natural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world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while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also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attending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agency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rivers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themselves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forces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defied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invited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acts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—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indeed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tracing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rivers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both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underpinned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unsettled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ambitions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rule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paper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makes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more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dynamic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understanding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-modern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territoriality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: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one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grounded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not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permanence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but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constant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bargaining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adaptation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literal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flow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Rivers,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argues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expose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contradictions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behind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power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over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space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laying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bare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tension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between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political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imagination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ecology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—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between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human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fictions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realities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sought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encompass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 </w:t>
      </w:r>
    </w:p>
    <w:p w14:paraId="348A01A6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> </w:t>
      </w:r>
    </w:p>
    <w:p w14:paraId="2D6E053D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Aesthetic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Excess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and (Dis)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Maps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New Spain</w:t>
      </w:r>
    </w:p>
    <w:p w14:paraId="70CBB705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>Barbara E. Mundy (Tulane University, New Orleans)</w:t>
      </w:r>
    </w:p>
    <w:p w14:paraId="52392E0E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Across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sixteenth-century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New Spain,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individuals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communities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encroachment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seizure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lands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courts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thereby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taking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advantage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new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but not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entirely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novel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system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justice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introduced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Spanish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Habsburg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rulers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Often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buttressed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property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maps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called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pinturas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archival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record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While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 simple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sketch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would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have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met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legal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standard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property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maps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sometimes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elaborate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paintings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dense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multi-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hued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pigments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artists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deploying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various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systems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projection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representations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territory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short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aesthetically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excessive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</w:t>
      </w:r>
    </w:p>
    <w:p w14:paraId="76A8B702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This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paper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looks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relationship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between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aesthetic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excess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centers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maps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pinturas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)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produced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court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cases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anomalous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presence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archival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record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rupturing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otherwise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cadence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textual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claims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  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seeks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explain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value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such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aesthetic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experiments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expressed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maps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' formal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chromatic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features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within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over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Rather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seeing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aesthetic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excess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indicator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community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prestige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argues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i/>
          <w:iCs/>
          <w:lang w:eastAsia="de-DE"/>
        </w:rPr>
        <w:t>pinturas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made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Indigenous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system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knowledge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about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land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visible.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doing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so,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reveal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fundamental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disjunction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between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Hapsburg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ideals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rightful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those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their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subjects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Indies</w:t>
      </w:r>
    </w:p>
    <w:p w14:paraId="4181C575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> </w:t>
      </w:r>
    </w:p>
    <w:p w14:paraId="2A80EB8D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Possession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by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Category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in Renaissance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Italy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: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What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Does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Actual Ownership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Goods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Reveal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About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Meaning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b/>
          <w:bCs/>
          <w:i/>
          <w:iCs/>
          <w:lang w:eastAsia="de-DE"/>
        </w:rPr>
        <w:t xml:space="preserve"> Possession?</w:t>
      </w:r>
    </w:p>
    <w:p w14:paraId="2ED95618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Kate Lowe (Queen Mary, University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London)</w:t>
      </w:r>
    </w:p>
    <w:p w14:paraId="62C89056" w14:textId="77777777" w:rsidR="008F6067" w:rsidRPr="009C65B8" w:rsidRDefault="008F6067" w:rsidP="008F606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de-DE"/>
        </w:rPr>
      </w:pPr>
      <w:r w:rsidRPr="009C65B8">
        <w:rPr>
          <w:rFonts w:ascii="Times New Roman" w:eastAsia="Times New Roman" w:hAnsi="Times New Roman" w:cs="Times New Roman"/>
          <w:lang w:eastAsia="de-DE"/>
        </w:rPr>
        <w:t xml:space="preserve">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notion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central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aspects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life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in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Italy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idea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completely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accepted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even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particular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examples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contested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goods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easily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separated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inanimate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animate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animate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goods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easily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further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separated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animals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humans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r w:rsidRPr="009C65B8">
        <w:rPr>
          <w:rFonts w:ascii="Times New Roman" w:eastAsia="Times New Roman" w:hAnsi="Times New Roman" w:cs="Times New Roman"/>
          <w:lang w:eastAsia="de-DE"/>
        </w:rPr>
        <w:lastRenderedPageBreak/>
        <w:t xml:space="preserve">But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did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(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)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categories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goods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imply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conceptualised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time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similar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equivalent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was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still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entirely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clear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all different? This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paper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will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analyse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types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evidence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from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Renaissance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Italy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used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address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questions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–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documentary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object-based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textual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visual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– in an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attempt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clarify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what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signified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how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realities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act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ownership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could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override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both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forms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morality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ideas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legality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The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main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focus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will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on Florence but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there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will also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material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from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Northern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Italian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courts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from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papal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court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.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Particular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attention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will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be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paid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intersection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possession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with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wealth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status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; in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addition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to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generating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most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evidence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these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intersections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usually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provide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the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clearest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lines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of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demarcation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, and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thus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permit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very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fruitful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Pr="009C65B8">
        <w:rPr>
          <w:rFonts w:ascii="Times New Roman" w:eastAsia="Times New Roman" w:hAnsi="Times New Roman" w:cs="Times New Roman"/>
          <w:lang w:eastAsia="de-DE"/>
        </w:rPr>
        <w:t>interrogation</w:t>
      </w:r>
      <w:proofErr w:type="spellEnd"/>
      <w:r w:rsidRPr="009C65B8">
        <w:rPr>
          <w:rFonts w:ascii="Times New Roman" w:eastAsia="Times New Roman" w:hAnsi="Times New Roman" w:cs="Times New Roman"/>
          <w:lang w:eastAsia="de-DE"/>
        </w:rPr>
        <w:t>.</w:t>
      </w:r>
    </w:p>
    <w:p w14:paraId="4356273B" w14:textId="77777777" w:rsidR="008F6067" w:rsidRDefault="008F6067" w:rsidP="008F6067"/>
    <w:p w14:paraId="3B881D3E" w14:textId="77777777" w:rsidR="007D6F67" w:rsidRPr="00C95C3B" w:rsidRDefault="007D6F67" w:rsidP="00C95C3B"/>
    <w:sectPr w:rsidR="007D6F67" w:rsidRPr="00C95C3B" w:rsidSect="00C95C3B">
      <w:headerReference w:type="default" r:id="rId7"/>
      <w:footerReference w:type="default" r:id="rId8"/>
      <w:pgSz w:w="11906" w:h="16838" w:code="9"/>
      <w:pgMar w:top="2682" w:right="1021" w:bottom="136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1312" w14:textId="77777777" w:rsidR="00C91D68" w:rsidRDefault="00C91D68" w:rsidP="003A160D">
      <w:pPr>
        <w:spacing w:line="240" w:lineRule="auto"/>
      </w:pPr>
      <w:r>
        <w:separator/>
      </w:r>
    </w:p>
  </w:endnote>
  <w:endnote w:type="continuationSeparator" w:id="0">
    <w:p w14:paraId="123238BD" w14:textId="77777777" w:rsidR="00C91D68" w:rsidRDefault="00C91D68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9E4B" w14:textId="77777777" w:rsidR="003B0617" w:rsidRDefault="003B0617">
    <w:pPr>
      <w:pStyle w:val="Fuzeile"/>
    </w:pPr>
    <w:r>
      <w:t xml:space="preserve">Seite </w:t>
    </w:r>
    <w:r>
      <w:fldChar w:fldCharType="begin"/>
    </w:r>
    <w:r>
      <w:instrText xml:space="preserve"> PAGE  </w:instrText>
    </w:r>
    <w:r>
      <w:fldChar w:fldCharType="separate"/>
    </w:r>
    <w:r w:rsidR="00513E8B">
      <w:rPr>
        <w:noProof/>
      </w:rPr>
      <w:t>1</w:t>
    </w:r>
    <w:r>
      <w:fldChar w:fldCharType="end"/>
    </w:r>
    <w:r>
      <w:t>/</w:t>
    </w:r>
    <w:fldSimple w:instr=" NUMPAGES  ">
      <w:r w:rsidR="00513E8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AC65" w14:textId="77777777" w:rsidR="00C91D68" w:rsidRDefault="00C91D68" w:rsidP="003A160D">
      <w:pPr>
        <w:spacing w:line="240" w:lineRule="auto"/>
      </w:pPr>
      <w:r>
        <w:separator/>
      </w:r>
    </w:p>
  </w:footnote>
  <w:footnote w:type="continuationSeparator" w:id="0">
    <w:p w14:paraId="09D30E80" w14:textId="77777777" w:rsidR="00C91D68" w:rsidRDefault="00C91D68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ABA1" w14:textId="77777777" w:rsidR="003B0617" w:rsidRPr="003B0617" w:rsidRDefault="000E5825" w:rsidP="003B0617">
    <w:pPr>
      <w:pStyle w:val="Kopfzeile"/>
    </w:pPr>
    <w:r w:rsidRPr="000E5825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F3169D0" wp14:editId="65B52FB8">
              <wp:simplePos x="0" y="0"/>
              <wp:positionH relativeFrom="page">
                <wp:posOffset>5220970</wp:posOffset>
              </wp:positionH>
              <wp:positionV relativeFrom="page">
                <wp:posOffset>467995</wp:posOffset>
              </wp:positionV>
              <wp:extent cx="0" cy="72396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6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C32B9F" id="Gerade Verbindung 1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.1pt,36.85pt" to="411.1pt,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" strokecolor="black [3213]" strokeweight=".9pt">
              <w10:wrap anchorx="page" anchory="page"/>
              <w10:anchorlock/>
            </v:line>
          </w:pict>
        </mc:Fallback>
      </mc:AlternateContent>
    </w:r>
    <w:r w:rsidRPr="000E5825">
      <w:rPr>
        <w:noProof/>
        <w:lang w:val="de-DE" w:eastAsia="de-DE"/>
      </w:rPr>
      <w:drawing>
        <wp:anchor distT="0" distB="0" distL="114300" distR="114300" simplePos="0" relativeHeight="251660288" behindDoc="0" locked="1" layoutInCell="1" allowOverlap="1" wp14:anchorId="72F499E8" wp14:editId="2CC140FC">
          <wp:simplePos x="0" y="0"/>
          <wp:positionH relativeFrom="page">
            <wp:posOffset>5508625</wp:posOffset>
          </wp:positionH>
          <wp:positionV relativeFrom="page">
            <wp:posOffset>431800</wp:posOffset>
          </wp:positionV>
          <wp:extent cx="792000" cy="789480"/>
          <wp:effectExtent l="0" t="0" r="825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8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825">
      <w:rPr>
        <w:noProof/>
        <w:lang w:val="de-DE" w:eastAsia="de-DE"/>
      </w:rPr>
      <w:drawing>
        <wp:anchor distT="0" distB="0" distL="114300" distR="114300" simplePos="0" relativeHeight="251661312" behindDoc="0" locked="1" layoutInCell="1" allowOverlap="1" wp14:anchorId="0CE6C603" wp14:editId="0C4718FD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537200" cy="90252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90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8B"/>
    <w:rsid w:val="00024761"/>
    <w:rsid w:val="000D1A1B"/>
    <w:rsid w:val="000E5825"/>
    <w:rsid w:val="00167C39"/>
    <w:rsid w:val="00170D9E"/>
    <w:rsid w:val="00193BE7"/>
    <w:rsid w:val="002502B0"/>
    <w:rsid w:val="002A2FA1"/>
    <w:rsid w:val="00314D27"/>
    <w:rsid w:val="003838FC"/>
    <w:rsid w:val="003A160D"/>
    <w:rsid w:val="003A26F2"/>
    <w:rsid w:val="003B0617"/>
    <w:rsid w:val="003B66F4"/>
    <w:rsid w:val="003E14BF"/>
    <w:rsid w:val="003F0D6A"/>
    <w:rsid w:val="004044A2"/>
    <w:rsid w:val="004202F9"/>
    <w:rsid w:val="004D7D20"/>
    <w:rsid w:val="00513E8B"/>
    <w:rsid w:val="00525EF5"/>
    <w:rsid w:val="00541F6D"/>
    <w:rsid w:val="00552732"/>
    <w:rsid w:val="00555203"/>
    <w:rsid w:val="005A6CCF"/>
    <w:rsid w:val="006542BD"/>
    <w:rsid w:val="0069632F"/>
    <w:rsid w:val="00696BAD"/>
    <w:rsid w:val="00761683"/>
    <w:rsid w:val="007B259A"/>
    <w:rsid w:val="007B4AC6"/>
    <w:rsid w:val="007D6F67"/>
    <w:rsid w:val="007F41A2"/>
    <w:rsid w:val="00883063"/>
    <w:rsid w:val="008A1CC6"/>
    <w:rsid w:val="008D3A9F"/>
    <w:rsid w:val="008E0057"/>
    <w:rsid w:val="008F6067"/>
    <w:rsid w:val="009161C4"/>
    <w:rsid w:val="00932C5C"/>
    <w:rsid w:val="009577BF"/>
    <w:rsid w:val="009D5780"/>
    <w:rsid w:val="00A368BB"/>
    <w:rsid w:val="00AA10D7"/>
    <w:rsid w:val="00AC443D"/>
    <w:rsid w:val="00AD3C46"/>
    <w:rsid w:val="00B24838"/>
    <w:rsid w:val="00B730F3"/>
    <w:rsid w:val="00C63130"/>
    <w:rsid w:val="00C91D68"/>
    <w:rsid w:val="00C95C3B"/>
    <w:rsid w:val="00DA4F15"/>
    <w:rsid w:val="00DE46D6"/>
    <w:rsid w:val="00E112B9"/>
    <w:rsid w:val="00E408F4"/>
    <w:rsid w:val="00E773F7"/>
    <w:rsid w:val="00EB4608"/>
    <w:rsid w:val="00E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3C27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5A6CCF"/>
  </w:style>
  <w:style w:type="paragraph" w:styleId="berschrift1">
    <w:name w:val="heading 1"/>
    <w:basedOn w:val="Standard"/>
    <w:next w:val="Standard"/>
    <w:link w:val="berschrift1Zchn"/>
    <w:uiPriority w:val="9"/>
    <w:rsid w:val="005A6CCF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5A6CCF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A6CCF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B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193B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6CCF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6CCF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nizzon/Downloads/UniBas_DepGesch_Report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BD11-E726-0E4A-AA4B-0CF32140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UniBas_DepGesch_Report_DE.dotx</Template>
  <TotalTime>0</TotalTime>
  <Pages>3</Pages>
  <Words>1007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Rodica Schmidinger Adrian</cp:lastModifiedBy>
  <cp:revision>2</cp:revision>
  <cp:lastPrinted>2015-05-26T11:03:00Z</cp:lastPrinted>
  <dcterms:created xsi:type="dcterms:W3CDTF">2026-03-19T10:19:00Z</dcterms:created>
  <dcterms:modified xsi:type="dcterms:W3CDTF">2026-03-19T10:19:00Z</dcterms:modified>
</cp:coreProperties>
</file>